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6F" w:rsidRPr="00142FFB" w:rsidRDefault="004A206F" w:rsidP="00142FFB">
      <w:pPr>
        <w:pStyle w:val="a7"/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p w:rsidR="00142FFB" w:rsidRDefault="00142FFB" w:rsidP="00142FFB">
      <w:pPr>
        <w:pStyle w:val="a7"/>
        <w:suppressAutoHyphens/>
        <w:spacing w:before="0" w:beforeAutospacing="0" w:after="0" w:afterAutospacing="0"/>
        <w:ind w:left="72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p w:rsidR="00142FFB" w:rsidRDefault="00142FFB" w:rsidP="00142FFB">
      <w:pPr>
        <w:pStyle w:val="a7"/>
        <w:suppressAutoHyphens/>
        <w:spacing w:before="0" w:beforeAutospacing="0" w:after="0" w:afterAutospacing="0"/>
        <w:ind w:left="72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p w:rsidR="00142FFB" w:rsidRDefault="00142FFB" w:rsidP="00142FFB">
      <w:pPr>
        <w:pStyle w:val="a7"/>
        <w:suppressAutoHyphens/>
        <w:spacing w:before="0" w:beforeAutospacing="0" w:after="0" w:afterAutospacing="0"/>
        <w:ind w:left="72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p w:rsidR="00E13F02" w:rsidRPr="00E13F02" w:rsidRDefault="004A206F" w:rsidP="00142FFB">
      <w:pPr>
        <w:pStyle w:val="a7"/>
        <w:suppressAutoHyphens/>
        <w:spacing w:before="0" w:beforeAutospacing="0" w:after="0" w:afterAutospacing="0"/>
        <w:ind w:left="72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6120130" cy="8422674"/>
            <wp:effectExtent l="19050" t="0" r="0" b="0"/>
            <wp:docPr id="1" name="Рисунок 1" descr="F:\2021-2022\учебный план (скан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\учебный план (скан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0A0"/>
      </w:tblPr>
      <w:tblGrid>
        <w:gridCol w:w="3334"/>
        <w:gridCol w:w="6712"/>
      </w:tblGrid>
      <w:tr w:rsidR="0034634F" w:rsidRPr="0034634F" w:rsidTr="00BB048A">
        <w:trPr>
          <w:jc w:val="center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Режим работы ДОУ</w:t>
            </w:r>
          </w:p>
        </w:tc>
        <w:tc>
          <w:tcPr>
            <w:tcW w:w="7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8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0-18.00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Начало учебного года с 01.09.20</w:t>
            </w:r>
            <w:r w:rsidR="00DB37D6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21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г.</w:t>
            </w:r>
          </w:p>
          <w:p w:rsidR="0034634F" w:rsidRPr="0034634F" w:rsidRDefault="0034634F" w:rsidP="00DB37D6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Окончание учебного года 3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6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.20</w:t>
            </w:r>
            <w:r w:rsidR="00DB37D6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22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г.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40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 xml:space="preserve"> недель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5 дней (понедельник-пятница)</w:t>
            </w:r>
          </w:p>
        </w:tc>
      </w:tr>
    </w:tbl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      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  </w:t>
      </w:r>
      <w:r w:rsidRPr="0034634F">
        <w:rPr>
          <w:rFonts w:ascii="Bookman Old Style" w:eastAsia="Times New Roman" w:hAnsi="Bookman Old Style" w:cs="Times New Roman"/>
          <w:b/>
          <w:bCs/>
          <w:color w:val="17365D" w:themeColor="text2" w:themeShade="BF"/>
          <w:sz w:val="28"/>
          <w:szCs w:val="28"/>
        </w:rPr>
        <w:t>Учебный план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 отвечает требованиям  </w:t>
      </w:r>
      <w:proofErr w:type="spellStart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СанПиН</w:t>
      </w:r>
      <w:proofErr w:type="spellEnd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,  гигиеническим требованиям к максимальной нагрузке на детей дошкольного возраста в организованных формах обучения.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  <w:u w:val="single"/>
        </w:rPr>
      </w:pPr>
      <w:r w:rsidRPr="0034634F">
        <w:rPr>
          <w:rFonts w:ascii="Bookman Old Style" w:eastAsia="Times New Roman" w:hAnsi="Bookman Old Style" w:cs="Times New Roman"/>
          <w:bCs/>
          <w:iCs/>
          <w:color w:val="17365D" w:themeColor="text2" w:themeShade="BF"/>
          <w:sz w:val="28"/>
          <w:szCs w:val="28"/>
          <w:u w:val="single"/>
        </w:rPr>
        <w:t>Продолжительность непрерывной непосредственно образовательной деятельности: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для детей от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2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3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  лет – не более 1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0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минут,                                        для детей от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3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 до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4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лет – не более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15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минут,                                            для детей от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4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  лет – не более 2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0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минут,                                        для детей от 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6,6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 лет – не более </w:t>
      </w:r>
      <w:r w:rsidR="00C4167C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25</w:t>
      </w: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минут.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ab/>
      </w:r>
      <w:r w:rsidRPr="0034634F">
        <w:rPr>
          <w:rFonts w:ascii="Bookman Old Style" w:eastAsia="DejaVu Sans" w:hAnsi="Bookman Old Style" w:cs="DejaVu Sans"/>
          <w:color w:val="17365D" w:themeColor="text2" w:themeShade="BF"/>
          <w:kern w:val="2"/>
          <w:sz w:val="28"/>
          <w:szCs w:val="28"/>
          <w:lang w:eastAsia="hi-IN" w:bidi="hi-IN"/>
        </w:rPr>
        <w:tab/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В учебный план включены все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Каждому направлению соответствуют определенные образовательные области:</w:t>
      </w:r>
    </w:p>
    <w:p w:rsidR="004F1D27" w:rsidRPr="0034634F" w:rsidRDefault="004F1D27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Default="0034634F" w:rsidP="0034634F">
      <w:pPr>
        <w:rPr>
          <w:rFonts w:ascii="Bookman Old Style" w:hAnsi="Bookman Old Style"/>
          <w:color w:val="17365D" w:themeColor="text2" w:themeShade="BF"/>
          <w:sz w:val="28"/>
          <w:szCs w:val="28"/>
          <w:u w:val="single"/>
        </w:rPr>
      </w:pPr>
    </w:p>
    <w:p w:rsidR="00E13F02" w:rsidRPr="0034634F" w:rsidRDefault="00E13F02" w:rsidP="0034634F">
      <w:pPr>
        <w:rPr>
          <w:rFonts w:ascii="Bookman Old Style" w:hAnsi="Bookman Old Style"/>
          <w:color w:val="17365D" w:themeColor="text2" w:themeShade="BF"/>
          <w:sz w:val="28"/>
          <w:szCs w:val="28"/>
          <w:u w:val="single"/>
        </w:rPr>
      </w:pP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Социально-коммуникативное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lastRenderedPageBreak/>
        <w:t xml:space="preserve">— нравственное воспитание,                                                                                                                                                             — патриотическое воспитание,                                                                                                                                                         — правовое воспитание,                                                                                                                                                                                — </w:t>
      </w:r>
      <w:proofErr w:type="spellStart"/>
      <w:r w:rsidRPr="00E639AB">
        <w:rPr>
          <w:rFonts w:ascii="Bookman Old Style" w:hAnsi="Bookman Old Style"/>
          <w:color w:val="C00000"/>
          <w:sz w:val="28"/>
          <w:szCs w:val="28"/>
        </w:rPr>
        <w:t>гендерное</w:t>
      </w:r>
      <w:proofErr w:type="spellEnd"/>
      <w:r w:rsidRPr="00E639AB">
        <w:rPr>
          <w:rFonts w:ascii="Bookman Old Style" w:hAnsi="Bookman Old Style"/>
          <w:color w:val="C00000"/>
          <w:sz w:val="28"/>
          <w:szCs w:val="28"/>
        </w:rPr>
        <w:t xml:space="preserve"> воспитание,                                                                                                                                                                     — коммуникативное развитие,                                                                                                                                                             — трудовое воспитание,                                                                                                                                                                     — формирование основ безопасности жизнедеятельности.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Познавательное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ознакомление с окружающим социальным миром,                                                                                                  — ознакомление с окружающим природным миром,                                                                                                  — ознакомление с окружающим предметным миром,                                                                                              — формирование элементарных математических представлений,                                                                        — экспериментирование и исследовательская деятельность,                                                                                — сенсорное развитие.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Речевое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формирование звуковой культуры речи,                                                                                                                 — формирование словаря,                                                                                                                                                — формирование грамматического строя речи,                                                                                                           — развитие связной речи,                                                                                                                                                 — развитие речевого творчества,                                                                                                                                  — ознакомление с художественной литературой.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Художественно-эстетическое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развитие восприятия произведений искусства и литературы,                                                                                — музыкальное развитие,                                                                                                                                                 — рисование,                                                                                                                                                                          — лепка,                                                                                                                                                                                   — конструирование,                                                                                                                                                                 — аппликация.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Физическое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охрана и укрепление здоровья,                                                                                                                                 — развитие физических качеств,                                                                                                                                      — формирование представлений о здоровом образе жизни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lastRenderedPageBreak/>
        <w:t>возрастными возможностями и особенностями воспитанников, спецификой и возможностями образовательных областей.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34634F" w:rsidRPr="0034634F" w:rsidRDefault="0034634F" w:rsidP="0034634F">
      <w:pPr>
        <w:shd w:val="clear" w:color="auto" w:fill="FFFFFF"/>
        <w:suppressAutoHyphens/>
        <w:jc w:val="both"/>
        <w:rPr>
          <w:rFonts w:ascii="Bookman Old Style" w:hAnsi="Bookman Old Style"/>
          <w:color w:val="17365D" w:themeColor="text2" w:themeShade="BF"/>
          <w:spacing w:val="-5"/>
          <w:sz w:val="28"/>
          <w:szCs w:val="28"/>
        </w:rPr>
      </w:pPr>
      <w:r w:rsidRPr="0034634F">
        <w:rPr>
          <w:rFonts w:ascii="Bookman Old Style" w:hAnsi="Bookman Old Style"/>
          <w:b/>
          <w:color w:val="17365D" w:themeColor="text2" w:themeShade="BF"/>
          <w:spacing w:val="-5"/>
          <w:sz w:val="28"/>
          <w:szCs w:val="28"/>
        </w:rPr>
        <w:tab/>
      </w:r>
      <w:r w:rsidRPr="0034634F">
        <w:rPr>
          <w:rFonts w:ascii="Bookman Old Style" w:hAnsi="Bookman Old Style"/>
          <w:color w:val="17365D" w:themeColor="text2" w:themeShade="BF"/>
          <w:spacing w:val="-5"/>
          <w:sz w:val="28"/>
          <w:szCs w:val="28"/>
          <w:u w:val="single"/>
        </w:rPr>
        <w:t xml:space="preserve">В региональный компонент </w:t>
      </w:r>
      <w:r w:rsidRPr="0034634F">
        <w:rPr>
          <w:rFonts w:ascii="Bookman Old Style" w:hAnsi="Bookman Old Style"/>
          <w:color w:val="17365D" w:themeColor="text2" w:themeShade="BF"/>
          <w:spacing w:val="-5"/>
          <w:sz w:val="28"/>
          <w:szCs w:val="28"/>
        </w:rPr>
        <w:t>работы МКДОУ входит работа по патриотическому воспитанию:</w:t>
      </w:r>
    </w:p>
    <w:p w:rsidR="0034634F" w:rsidRPr="0034634F" w:rsidRDefault="0034634F" w:rsidP="0034634F">
      <w:pPr>
        <w:pStyle w:val="a8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Деятельность по ознакомлению с селом, районом, республикой.</w:t>
      </w:r>
    </w:p>
    <w:p w:rsidR="0034634F" w:rsidRPr="0034634F" w:rsidRDefault="0034634F" w:rsidP="0034634F">
      <w:pPr>
        <w:pStyle w:val="a8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Воспитание интереса и уважения к культурам разных стран у детей 5-</w:t>
      </w:r>
      <w:r w:rsidR="00C4167C">
        <w:rPr>
          <w:rFonts w:ascii="Bookman Old Style" w:hAnsi="Bookman Old Style"/>
          <w:color w:val="17365D" w:themeColor="text2" w:themeShade="BF"/>
          <w:sz w:val="28"/>
          <w:szCs w:val="28"/>
        </w:rPr>
        <w:t>6,6</w:t>
      </w: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лет. </w:t>
      </w:r>
    </w:p>
    <w:p w:rsidR="0034634F" w:rsidRPr="0034634F" w:rsidRDefault="0034634F" w:rsidP="0034634F">
      <w:pPr>
        <w:suppressAutoHyphens/>
        <w:jc w:val="both"/>
        <w:rPr>
          <w:rFonts w:ascii="Bookman Old Style" w:eastAsia="SimSun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SimSun" w:hAnsi="Bookman Old Style"/>
          <w:color w:val="17365D" w:themeColor="text2" w:themeShade="BF"/>
          <w:sz w:val="28"/>
          <w:szCs w:val="28"/>
        </w:rPr>
        <w:tab/>
        <w:t>Во всех возрастных  группах,   данные  образовательные задачи решаются через интеграцию с другими образовательными областями во вторую половину дня.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Фронтально проводятся: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«Физическая культура» на воздухе,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«Музыка»,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«Познание» (Развитие кругозора и познавательно-исследовательской  деятельности в природе /безопасность)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«Коммуникация» (развитие речи/чтение художественной литературы)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i/>
          <w:iCs/>
          <w:color w:val="17365D" w:themeColor="text2" w:themeShade="BF"/>
          <w:sz w:val="28"/>
          <w:szCs w:val="28"/>
        </w:rPr>
        <w:t>В ДОУ функционируют 4 группы: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Младшая группа  (2-3 года)                                                                   Средняя группа (3-4 лет)                                                                           Старшая группа (4-5 лет)                                                         Подготовительная группа (5-6,6 лет)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   Содержание учебного плана обеспечивает сохранение и дальнейшее развитие физических, психических и интеллектуальных возможностей каждого ребенка, освоение образовательной программы ДОУ и готовность выпускников к школьному обучению.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ab/>
      </w:r>
    </w:p>
    <w:p w:rsidR="00756C49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ab/>
        <w:t> </w:t>
      </w:r>
    </w:p>
    <w:sectPr w:rsidR="00756C49" w:rsidRPr="0034634F" w:rsidSect="00280740">
      <w:pgSz w:w="11906" w:h="16838"/>
      <w:pgMar w:top="993" w:right="1134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AA4"/>
    <w:multiLevelType w:val="hybridMultilevel"/>
    <w:tmpl w:val="6780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282C"/>
    <w:multiLevelType w:val="hybridMultilevel"/>
    <w:tmpl w:val="B9F6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3B15E9"/>
    <w:rsid w:val="000772CA"/>
    <w:rsid w:val="00083026"/>
    <w:rsid w:val="00142FFB"/>
    <w:rsid w:val="001A3BE3"/>
    <w:rsid w:val="001D5B5A"/>
    <w:rsid w:val="002257F3"/>
    <w:rsid w:val="00280740"/>
    <w:rsid w:val="002B05A9"/>
    <w:rsid w:val="00324C9B"/>
    <w:rsid w:val="0034634F"/>
    <w:rsid w:val="00380E8E"/>
    <w:rsid w:val="003B15E9"/>
    <w:rsid w:val="004A206F"/>
    <w:rsid w:val="004F1D27"/>
    <w:rsid w:val="005265E1"/>
    <w:rsid w:val="00576186"/>
    <w:rsid w:val="005F5A19"/>
    <w:rsid w:val="00665C1D"/>
    <w:rsid w:val="00671CE1"/>
    <w:rsid w:val="00693938"/>
    <w:rsid w:val="006A6397"/>
    <w:rsid w:val="006D53D4"/>
    <w:rsid w:val="00756C49"/>
    <w:rsid w:val="007625B4"/>
    <w:rsid w:val="007E0285"/>
    <w:rsid w:val="008C32E9"/>
    <w:rsid w:val="0091521A"/>
    <w:rsid w:val="00942CA5"/>
    <w:rsid w:val="009441D3"/>
    <w:rsid w:val="009450D0"/>
    <w:rsid w:val="009A2085"/>
    <w:rsid w:val="009C7F4B"/>
    <w:rsid w:val="009F596B"/>
    <w:rsid w:val="009F5BA5"/>
    <w:rsid w:val="00A05ED8"/>
    <w:rsid w:val="00BD4D93"/>
    <w:rsid w:val="00C20DCB"/>
    <w:rsid w:val="00C4167C"/>
    <w:rsid w:val="00C72B21"/>
    <w:rsid w:val="00C80901"/>
    <w:rsid w:val="00CA233D"/>
    <w:rsid w:val="00D32067"/>
    <w:rsid w:val="00D50567"/>
    <w:rsid w:val="00D52F9D"/>
    <w:rsid w:val="00DB37D6"/>
    <w:rsid w:val="00DE1109"/>
    <w:rsid w:val="00E13F02"/>
    <w:rsid w:val="00E30D95"/>
    <w:rsid w:val="00E544CF"/>
    <w:rsid w:val="00E639AB"/>
    <w:rsid w:val="00EA5206"/>
    <w:rsid w:val="00EA788C"/>
    <w:rsid w:val="00F06E00"/>
    <w:rsid w:val="00FA65E8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paragraph" w:styleId="2">
    <w:name w:val="heading 2"/>
    <w:basedOn w:val="a"/>
    <w:next w:val="a"/>
    <w:link w:val="20"/>
    <w:semiHidden/>
    <w:unhideWhenUsed/>
    <w:qFormat/>
    <w:rsid w:val="00E13F02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634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13F02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Ul">
    <w:name w:val="Ul"/>
    <w:basedOn w:val="a"/>
    <w:rsid w:val="00E13F02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highlighted">
    <w:name w:val="Span_highlighted"/>
    <w:basedOn w:val="a0"/>
    <w:rsid w:val="00E13F02"/>
    <w:rPr>
      <w:shd w:val="clear" w:color="auto" w:fill="E3E6F9"/>
    </w:rPr>
  </w:style>
  <w:style w:type="character" w:customStyle="1" w:styleId="Spanlink">
    <w:name w:val="Span_link"/>
    <w:basedOn w:val="a0"/>
    <w:rsid w:val="00E13F02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116B-EE3C-4154-9E5D-3D96480B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kompYOUter</cp:lastModifiedBy>
  <cp:revision>3</cp:revision>
  <cp:lastPrinted>2022-03-02T12:41:00Z</cp:lastPrinted>
  <dcterms:created xsi:type="dcterms:W3CDTF">2022-03-02T12:44:00Z</dcterms:created>
  <dcterms:modified xsi:type="dcterms:W3CDTF">2022-03-02T12:44:00Z</dcterms:modified>
</cp:coreProperties>
</file>